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DB7E33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DB7E33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ЕНЕРГОГЕНЕРУЮЧІ ТА ЕНЕРГОЗБЕРІГАЮЧІ СИСТЕМИ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AA0F44">
        <w:rPr>
          <w:rFonts w:ascii="Times New Roman" w:eastAsia="Times New Roman" w:hAnsi="Times New Roman" w:cs="Times New Roman"/>
          <w:sz w:val="32"/>
          <w:szCs w:val="32"/>
          <w:lang w:val="en-US"/>
        </w:rPr>
        <w:t>_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DB7E33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</w:rPr>
              <w:t>Енергогенеруючі та енергозберігаючі системи</w:t>
            </w:r>
          </w:p>
          <w:p w:rsidR="007F5222" w:rsidRDefault="00DB7E33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Energy-generating</w:t>
            </w:r>
            <w:proofErr w:type="spellEnd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energy-saving</w:t>
            </w:r>
            <w:proofErr w:type="spellEnd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B7E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systems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лекційні,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лабораторні та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7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AA0F44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7F5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лабораторні та 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DB7E3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3B7031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Дисципліна «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Енергогенеруючі та енергозберігаючі системи</w:t>
      </w:r>
      <w:r w:rsidR="003B7031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є варіативної дисципліною, яка формує у студентів готовність до участі в пошуку, обробці, аналізі та використанні інформації в даній галузі. 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Сучасний розвиток енергетики в Україні характеризується зростанням вартості виробництва енергії. Нетрадиційні джерела енергії, зокрема, відновлювана енергетика сьогодні є такою, яка найбільш динамічно розвивається. Особливе значення відновлювані ресурси мають у децентралізованих системах електропостачання, які характерні для значних територій України та інших країн. В ході вивчення курсу будуть розглянуті енергетичні характеристики основних видів природних відновлюваних джерел енергії: вітру, потоків води, сонячного випромінювання, геотермальних вод, біомаси та способи їх перетворення на електроенергію. Значна увага приділена питанням підвищення енергоефективності перетворення первинного енергоресурсу та раціональної побудови автономних систем електропостачання з використанням електростанцій.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DB7E33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Мета дисципліни полягає у формуванні у 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ідвищення рівня професійної компетенції студентів за допомогою освоєння теоретичних та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практичних основ альтернативної енергетики та енергоефективних та ресурсозберігаючих технологій.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застосування сучасних нетрадиційних джерел енергії, їх властивостей та характеристик,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набуття практичних навичок, їх застосування у різних технологічних процесах народного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7E33" w:rsidRP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господарства</w:t>
      </w:r>
      <w:r w:rsidR="00DB7E3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оволодіння студентами знаннями про характеристики та особливості </w:t>
      </w:r>
      <w:r w:rsidR="00FC02A8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відновлювальних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 енергії, про сучасні методи їх використання, проблеми та перспективи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 альтернативної енергетики;</w:t>
      </w:r>
    </w:p>
    <w:p w:rsidR="00B07A7A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освоєння методів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розрахунку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установок альтернативної енергетики і оцінки їх ефективності на основі аналізу існуючих систем і їх елементів з метою розробки та впровадження необхідних змін в їх структурі з позиції підвищення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енергоекономічної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ефективності і вирішення питань енергозбереження;</w:t>
      </w:r>
    </w:p>
    <w:p w:rsidR="00D745BB" w:rsidRPr="00B07A7A" w:rsidRDefault="00B07A7A" w:rsidP="00AD21CC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- формування розуміння основних тенденцій та напрямків вдосконалення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енергетичних систем на базі </w:t>
      </w:r>
      <w:r w:rsidR="00083E87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новлюваних енергоресурсів у вітчизняній і зарубіжній практиці, розвиток здатності об'єктивно оцінювати переваги і недоліки таких систем і їх елементів, як вітчизняних, так і зарубіжних</w:t>
      </w:r>
      <w:r w:rsidR="00C46BF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10914"/>
      </w:tblGrid>
      <w:tr w:rsidR="00A14E13" w:rsidRPr="00673ABF" w:rsidTr="00A14E13">
        <w:trPr>
          <w:tblHeader/>
        </w:trPr>
        <w:tc>
          <w:tcPr>
            <w:tcW w:w="3402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10914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A14E13">
        <w:tc>
          <w:tcPr>
            <w:tcW w:w="3402" w:type="dxa"/>
          </w:tcPr>
          <w:p w:rsidR="00A14E13" w:rsidRPr="00673ABF" w:rsidRDefault="00C46BF4" w:rsidP="00C46BF4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біоенергетичних, вітроенергетичних,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гідроенергетичних та сонячних енергетичних установок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вітроелектричної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уміння розраховувати і підбирати основне обладнання сонячних енергетичних установок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673ABF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уміння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і підбирати основне обладнання </w:t>
            </w:r>
            <w:proofErr w:type="spellStart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біогазової</w:t>
            </w:r>
            <w:proofErr w:type="spellEnd"/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енергетичної установки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0178FA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виконувати підбір енергетичних установок;</w:t>
            </w:r>
          </w:p>
          <w:p w:rsid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фізичні основи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перетворення сонячної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 в теплову і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електричну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14E13" w:rsidRPr="00673ABF" w:rsidRDefault="006C32A0" w:rsidP="00B942F7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розраховувати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конструкції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схеми систем сонячного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тепло- і 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лектропостачання,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класифікацію і пристрій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вітроенергетичних</w:t>
            </w:r>
            <w:r w:rsidR="00B942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установок.</w:t>
            </w:r>
          </w:p>
        </w:tc>
      </w:tr>
      <w:tr w:rsidR="00A14E13" w:rsidTr="00A14E13">
        <w:tc>
          <w:tcPr>
            <w:tcW w:w="3402" w:type="dxa"/>
          </w:tcPr>
          <w:p w:rsidR="00A14E13" w:rsidRPr="00673ABF" w:rsidRDefault="00C46BF4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Розуміти значення традиційної та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альтернативної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енергетики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6B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успішного економічного розвитку країни</w:t>
            </w:r>
          </w:p>
        </w:tc>
        <w:tc>
          <w:tcPr>
            <w:tcW w:w="10914" w:type="dxa"/>
          </w:tcPr>
          <w:p w:rsidR="00A14E13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мати уявлення про стан та перспективи розвитку нетрадиційних і відновлюваних джерел енергії; 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знання екологічних проблем використання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альтернативних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Pr="000178FA" w:rsidRDefault="006C32A0" w:rsidP="00A14E1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аналіз політики уряду України в області нетрадиційної енергетики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A14E13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виконувати розрахунки по техніко-економічному обґрунтуванню реалізації 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178FA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роектів альтернативних джерел енергії</w:t>
            </w:r>
            <w:r w:rsidR="00A14E13" w:rsidRPr="000178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0178FA" w:rsidRDefault="006C32A0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мати уявлення про сучасний стан справ, тенденції розвитку, найважливіші розробки, новітні технології в галузі нетрадиційної енергетики.</w:t>
            </w:r>
          </w:p>
        </w:tc>
      </w:tr>
      <w:tr w:rsidR="00B942F7" w:rsidTr="00A14E13">
        <w:tc>
          <w:tcPr>
            <w:tcW w:w="3402" w:type="dxa"/>
          </w:tcPr>
          <w:p w:rsidR="00B942F7" w:rsidRPr="00936FC5" w:rsidRDefault="008C3273" w:rsidP="008C327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проводити попереднє техніко-економічне обґрунтування проектних рішень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використання енергозберігаючих технологій</w:t>
            </w:r>
          </w:p>
        </w:tc>
        <w:tc>
          <w:tcPr>
            <w:tcW w:w="10914" w:type="dxa"/>
          </w:tcPr>
          <w:p w:rsidR="00B942F7" w:rsidRDefault="006C32A0" w:rsidP="008C327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</w:t>
            </w:r>
            <w:r w:rsid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засоби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 допомогою яких проводиться якісн</w:t>
            </w:r>
            <w:r w:rsid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техніко-економічне обґрунтування проектних</w:t>
            </w:r>
            <w:r w:rsid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рішень сфери нетрадиційних джерел енергії;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36FC5" w:rsidRPr="00936FC5" w:rsidRDefault="006C32A0" w:rsidP="007F522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6FC5" w:rsidRP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вміти 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вирішувати поставлені завдання в галузі </w:t>
            </w:r>
            <w:r w:rsid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проектування та впровадження 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енергогенеруючих та енергозберігаючих систем</w:t>
            </w:r>
            <w:r w:rsidR="00936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6C32A0" w:rsidRDefault="006C32A0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7F522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474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FC02A8" w:rsidP="007F52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7F5222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884749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E23DCC" w:rsidP="0088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 (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88474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Екзамен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F5222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7F5222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вибірков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(В)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C60E13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08572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</w:t>
      </w:r>
      <w:r w:rsid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ізика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1C315F">
      <w:pPr>
        <w:spacing w:after="16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учасні концепції розвитку розподілених енергосистем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542D3" w:rsidRP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нергоефективність та новітні технології в електротехнічних та електроенергетичних системах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7F522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7F5222" w:rsidRPr="007F522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лабораторні стенди: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Автономне енергопостачання житлової будівлі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Раціональне використання енергії Сонця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», «Дослідження роботи т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еплов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насос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у», «Дослідження роботи в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ітров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електростанці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«Дослідження роботи с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онячн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батаре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ї», прикладне програмне забезпечення з розрахунку та проектування систем альтернативної енергетики.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0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B743B2" w:rsidRPr="00147D8A" w:rsidRDefault="00AA0F44" w:rsidP="00E924DE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11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147D8A" w:rsidRDefault="00147D8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6430E4" w:rsidRPr="00236357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8C3273" w:rsidRPr="008C3273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Відновлювані енергоресурси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умови їх використання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генерування електроенергії.</w:t>
            </w:r>
          </w:p>
          <w:p w:rsidR="006430E4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Класифікація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новлюваних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джерел енергії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8E01F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BD741C" w:rsidRPr="00F62EA8" w:rsidRDefault="00BD741C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BD741C" w:rsidRPr="00F62EA8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Економічні аспекти використання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відновлюваних енергоресурсів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виробництва електроенергії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6430E4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6430E4" w:rsidRPr="00F62EA8" w:rsidRDefault="007F5222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6430E4" w:rsidRPr="00F62EA8" w:rsidRDefault="006430E4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F62EA8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відомості та аналіз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нетрадиційних джерел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</w:t>
            </w:r>
          </w:p>
        </w:tc>
        <w:tc>
          <w:tcPr>
            <w:tcW w:w="1134" w:type="dxa"/>
          </w:tcPr>
          <w:p w:rsidR="006430E4" w:rsidRPr="00F62EA8" w:rsidRDefault="006430E4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70C6E" w:rsidRPr="00F62EA8" w:rsidTr="00F33210">
        <w:tc>
          <w:tcPr>
            <w:tcW w:w="1031" w:type="dxa"/>
            <w:vMerge/>
          </w:tcPr>
          <w:p w:rsidR="00570C6E" w:rsidRPr="00F62EA8" w:rsidRDefault="00570C6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70C6E" w:rsidRPr="00F62EA8" w:rsidRDefault="007542D3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570C6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430E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70C6E" w:rsidRPr="00F62EA8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установки сонячного гарячого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водопостачання</w:t>
            </w:r>
          </w:p>
        </w:tc>
        <w:tc>
          <w:tcPr>
            <w:tcW w:w="1134" w:type="dxa"/>
          </w:tcPr>
          <w:p w:rsidR="00570C6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7F5222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1C5B1E" w:rsidRPr="00F62EA8" w:rsidRDefault="001C5B1E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62EA8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Методичні засади визначення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ресурсів відновлюваних джерел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570C6E" w:rsidRDefault="007542D3" w:rsidP="007F522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1C5B1E" w:rsidRPr="00F62EA8" w:rsidRDefault="008C3273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Чисельний розрахунок теплової частини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сонячного колектора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7542D3" w:rsidP="007F52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1C5B1E"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52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1C5B1E" w:rsidRPr="00570C6E" w:rsidRDefault="001C5B1E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Послідовне й паралельне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5B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з'єднання сонячних батарей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1C5B1E" w:rsidRPr="00F62EA8" w:rsidRDefault="003C1666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F33210">
        <w:tc>
          <w:tcPr>
            <w:tcW w:w="1031" w:type="dxa"/>
            <w:vMerge w:val="restart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1C5B1E" w:rsidRDefault="008C3273" w:rsidP="008C327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Енергія вітру. Вітроустановки, їх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класифікація, будова, принцип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134" w:type="dxa"/>
          </w:tcPr>
          <w:p w:rsidR="001C5B1E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65C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Default="0031690A" w:rsidP="00316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етоди розрахунку</w:t>
            </w:r>
            <w:r w:rsid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визначення основних показників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вітро</w:t>
            </w:r>
            <w:r w:rsidR="008C3273" w:rsidRPr="008C327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установки, поняття та позначення</w:t>
            </w:r>
          </w:p>
        </w:tc>
        <w:tc>
          <w:tcPr>
            <w:tcW w:w="1134" w:type="dxa"/>
          </w:tcPr>
          <w:p w:rsidR="001C5B1E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3C1666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1C5B1E" w:rsidRPr="00F62EA8" w:rsidRDefault="001C5B1E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1C5B1E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8E01F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</w:t>
            </w:r>
            <w:r w:rsidR="003C166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7542D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8E01F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8E01F7" w:rsidRDefault="008E01F7" w:rsidP="006F19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01F7" w:rsidRDefault="008E01F7" w:rsidP="006F195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 w:rsidR="008E01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8E01F7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1C5B1E" w:rsidRPr="00F62EA8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1C5B1E" w:rsidRPr="00F62EA8" w:rsidRDefault="0031690A" w:rsidP="00316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Геотермальна енергія. Концепція,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галузі застосування, обладнання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застосовуване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для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отримання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енергії.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62EA8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5-7</w:t>
            </w:r>
          </w:p>
        </w:tc>
        <w:tc>
          <w:tcPr>
            <w:tcW w:w="10773" w:type="dxa"/>
          </w:tcPr>
          <w:p w:rsidR="001C5B1E" w:rsidRPr="00F62EA8" w:rsidRDefault="003C1666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DE4A05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Теплові насоси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8E01F7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8-10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 роботи теплового насосу</w:t>
            </w:r>
          </w:p>
        </w:tc>
        <w:tc>
          <w:tcPr>
            <w:tcW w:w="1134" w:type="dxa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31690A" w:rsidP="00316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Гідроакумулюючі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електростанції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773" w:type="dxa"/>
          </w:tcPr>
          <w:p w:rsidR="00DE4A05" w:rsidRPr="00F62EA8" w:rsidRDefault="00DE4A05" w:rsidP="007521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Енергозбереження при виробництві енергії на ГЕС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DE4A05" w:rsidRPr="00F62EA8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DE4A05" w:rsidRPr="00F62EA8" w:rsidRDefault="0031690A" w:rsidP="00316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поняття та технології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отримання </w:t>
            </w:r>
            <w:proofErr w:type="spellStart"/>
            <w:r w:rsidRPr="0031690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біоенергії</w:t>
            </w:r>
            <w:proofErr w:type="spellEnd"/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8E01F7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</w:tcPr>
          <w:p w:rsidR="00DE4A05" w:rsidRDefault="00DE4A05" w:rsidP="003C16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Перспективи розвитку децентралізованої енергетики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C16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країні та світі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DE4A05" w:rsidP="008E01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</w:t>
            </w:r>
            <w:r w:rsidR="008E01F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Виконання завдання в системі ДО</w:t>
            </w:r>
          </w:p>
        </w:tc>
        <w:tc>
          <w:tcPr>
            <w:tcW w:w="1134" w:type="dxa"/>
          </w:tcPr>
          <w:p w:rsidR="00DE4A05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E01F7" w:rsidRPr="00F62EA8" w:rsidTr="0098635A">
        <w:tc>
          <w:tcPr>
            <w:tcW w:w="15064" w:type="dxa"/>
            <w:gridSpan w:val="4"/>
          </w:tcPr>
          <w:p w:rsidR="008E01F7" w:rsidRPr="00F62EA8" w:rsidRDefault="008E01F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10 год., ПЗ – 20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8E01F7" w:rsidRPr="00F62EA8" w:rsidTr="00A83861">
        <w:tc>
          <w:tcPr>
            <w:tcW w:w="15064" w:type="dxa"/>
            <w:gridSpan w:val="4"/>
          </w:tcPr>
          <w:p w:rsidR="008E01F7" w:rsidRPr="00F62EA8" w:rsidRDefault="008E01F7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28 год., ЛР – 12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31690A" w:rsidRDefault="0031690A" w:rsidP="00225F13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743B2" w:rsidRDefault="00A4299C" w:rsidP="00225F13">
      <w:pPr>
        <w:spacing w:before="240" w:after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7542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302F7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302F7C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25F13" w:rsidRPr="00302F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7542D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0-30</w:t>
            </w:r>
          </w:p>
        </w:tc>
      </w:tr>
      <w:tr w:rsidR="00AA0F44" w:rsidRPr="00DF4713" w:rsidTr="00DF4713">
        <w:tc>
          <w:tcPr>
            <w:tcW w:w="992" w:type="dxa"/>
          </w:tcPr>
          <w:p w:rsidR="00AA0F44" w:rsidRPr="00AA0F44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2049" w:type="dxa"/>
          </w:tcPr>
          <w:p w:rsidR="00AA0F44" w:rsidRPr="00544366" w:rsidRDefault="00AA0F44" w:rsidP="00AA0F4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Додаткові бали</w:t>
            </w: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⁎</w:t>
            </w:r>
          </w:p>
        </w:tc>
        <w:tc>
          <w:tcPr>
            <w:tcW w:w="1559" w:type="dxa"/>
          </w:tcPr>
          <w:p w:rsidR="00AA0F44" w:rsidRPr="00544366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443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0-10</w:t>
            </w:r>
          </w:p>
        </w:tc>
      </w:tr>
      <w:tr w:rsidR="00AA0F44" w:rsidRPr="00DF4713" w:rsidTr="00DF4713">
        <w:tc>
          <w:tcPr>
            <w:tcW w:w="992" w:type="dxa"/>
          </w:tcPr>
          <w:p w:rsidR="00AA0F44" w:rsidRPr="00225F13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049" w:type="dxa"/>
          </w:tcPr>
          <w:p w:rsidR="00AA0F44" w:rsidRDefault="00AA0F44" w:rsidP="00AA0F4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AA0F44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AA0F44" w:rsidRPr="00DF4713" w:rsidTr="00DF4713">
        <w:tc>
          <w:tcPr>
            <w:tcW w:w="992" w:type="dxa"/>
          </w:tcPr>
          <w:p w:rsidR="00AA0F44" w:rsidRPr="00DF4713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AA0F44" w:rsidRPr="00075F6B" w:rsidRDefault="00AA0F44" w:rsidP="00AA0F44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AA0F44" w:rsidRPr="00075F6B" w:rsidRDefault="00AA0F44" w:rsidP="00AA0F4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AA0F44" w:rsidRDefault="00AA0F44" w:rsidP="00AA0F44">
      <w:pPr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</w:pPr>
    </w:p>
    <w:p w:rsidR="00AA0F44" w:rsidRDefault="00AA0F44" w:rsidP="00AA0F4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436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⁎</w:t>
      </w:r>
      <w:r w:rsidRPr="005443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Додаткові бали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додаються здобувачеві вищої освіти за:</w:t>
      </w:r>
    </w:p>
    <w:p w:rsidR="00AA0F44" w:rsidRDefault="00AA0F44" w:rsidP="00AA0F4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1) участь у науковій роботі, зокрема написання тез-доповідей, співавторство у наукових статтях та ін.</w:t>
      </w:r>
    </w:p>
    <w:p w:rsidR="00AA0F44" w:rsidRDefault="00AA0F44" w:rsidP="00AA0F4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2) участь у написанні студентських наукових робіт на І та ІІ тур всеукраїнських конкурсів.</w:t>
      </w:r>
    </w:p>
    <w:p w:rsidR="00AA0F44" w:rsidRDefault="00AA0F44" w:rsidP="00AA0F44">
      <w:pPr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3) участь у всеукраїнських олімпіадах з профілю дисципліни.</w:t>
      </w:r>
    </w:p>
    <w:p w:rsidR="00075F6B" w:rsidRDefault="00AA0F44" w:rsidP="00AA0F44">
      <w:pPr>
        <w:ind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4) інше.</w:t>
      </w: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A0F44" w:rsidRDefault="00AA0F44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1690A" w:rsidRDefault="0031690A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302F7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15 балів з 30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13. Питання до екзамену</w:t>
      </w:r>
    </w:p>
    <w:p w:rsidR="00FE155F" w:rsidRDefault="008026C5" w:rsidP="00FE155F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Сформулюйте основні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технічні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нетрадиційних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вітроустановок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ристро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перетворення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хвиль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ГеоТЕС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пособи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етрадиційн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новлюван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доцільність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геліо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отенційні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регіону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використанні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8026C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8026C5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11.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Окресліть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онячні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концентратори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 w:rsid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00207"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Перерахуйте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плоских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колекторів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з'єднання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мережу теплого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00207">
        <w:rPr>
          <w:rFonts w:ascii="Times New Roman" w:eastAsia="Times New Roman" w:hAnsi="Times New Roman" w:cs="Times New Roman"/>
          <w:sz w:val="28"/>
          <w:szCs w:val="28"/>
          <w:lang w:val="ru-RU"/>
        </w:rPr>
        <w:t>теплопостачання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00207" w:rsidRDefault="00600207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13.</w:t>
      </w:r>
      <w:r w:rsidR="00383CDA" w:rsidRPr="00383CDA"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Поясніть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конструкцію</w:t>
      </w:r>
      <w:proofErr w:type="spellEnd"/>
      <w:r w:rsidR="00383CDA"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</w:t>
      </w:r>
      <w:r w:rsid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600207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14.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принципову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пристрій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неметал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БГУ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малих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потужностей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однією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них і характеристики.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конструювання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метантенков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не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металевих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ожливості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утилізації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теплоти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розвантаження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метантенка</w:t>
      </w:r>
      <w:proofErr w:type="spellEnd"/>
      <w:r w:rsidRPr="00383CD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383CDA" w:rsidRDefault="00383CDA" w:rsidP="00383CDA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18.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Приведіть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схеми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83479E" w:rsidRP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</w:t>
      </w:r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ію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="00834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установок.</w:t>
      </w:r>
    </w:p>
    <w:p w:rsidR="0083479E" w:rsidRDefault="0083479E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вітродвигунів</w:t>
      </w:r>
      <w:proofErr w:type="spellEnd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принципом </w:t>
      </w:r>
      <w:proofErr w:type="spellStart"/>
      <w:r w:rsidR="00EA7577" w:rsidRP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="00EA757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A7577" w:rsidRDefault="00EA7577" w:rsidP="0083479E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20.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обот</w:t>
      </w:r>
      <w:r w:rsid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вітрового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колеса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крильчатого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вітродвигуна</w:t>
      </w:r>
      <w:proofErr w:type="spellEnd"/>
      <w:r w:rsidR="00A208A3"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208A3" w:rsidRDefault="00A208A3" w:rsidP="00A208A3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Опищіть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мождивості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господарських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побутових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208A3">
        <w:rPr>
          <w:rFonts w:ascii="Times New Roman" w:eastAsia="Times New Roman" w:hAnsi="Times New Roman" w:cs="Times New Roman"/>
          <w:sz w:val="28"/>
          <w:szCs w:val="28"/>
          <w:lang w:val="ru-RU"/>
        </w:rPr>
        <w:t>умовах</w:t>
      </w:r>
      <w:proofErr w:type="spellEnd"/>
    </w:p>
    <w:p w:rsidR="00A208A3" w:rsidRDefault="00A208A3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22. 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Охарактеризуйте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алі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комбіновані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ні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джерело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постачання</w:t>
      </w:r>
      <w:proofErr w:type="spellEnd"/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електричною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</w:t>
      </w:r>
      <w:r w:rsid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ї</w:t>
      </w:r>
      <w:proofErr w:type="spellEnd"/>
      <w:r w:rsidR="00FB4B32"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онструкції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24.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геліосистем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гарячим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водопостачанням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ізольованого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споживача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систем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гарячого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водопостачання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28.</w:t>
      </w:r>
      <w:r w:rsidRPr="00FB4B32"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ласифікація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біопалива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онструктивні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установок,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перетворюють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FB4B3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4B32" w:rsidRDefault="00FB4B3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31.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паливно-енергетичних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їм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 w:rsid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="00BF72F0"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32. Ох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зуйте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підход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Раціональне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ПЕР», «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Економія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72F0">
        <w:rPr>
          <w:rFonts w:ascii="Times New Roman" w:eastAsia="Times New Roman" w:hAnsi="Times New Roman" w:cs="Times New Roman"/>
          <w:sz w:val="28"/>
          <w:szCs w:val="28"/>
          <w:lang w:val="ru-RU"/>
        </w:rPr>
        <w:t>Україн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F72F0" w:rsidRDefault="00BF72F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34.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сновні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напрямки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енергозбереження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наведіть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613A0"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енергозбереженню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другого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закону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термодинаміки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руктур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функції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поняттям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ексергію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коефіцієнт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корисної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ункціональн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фотоелектричної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установки.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40.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графік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вольт-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амперної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модуля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інтенсивності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освітлення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алежність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вихідної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потужності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регулюванні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швидкості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вітроколеса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в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залежності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орієнтації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осі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обертання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утність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анаеробного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переробки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біомаси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арактеристик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режимів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бродіння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органічних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речовин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отримання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альтернативної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енергії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ипи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Пелтона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Каплана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турбін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Френсиса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агальн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принцип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>гідравлічного</w:t>
      </w:r>
      <w:proofErr w:type="spellEnd"/>
      <w:r w:rsidRPr="004613A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тарану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613A0" w:rsidRDefault="004613A0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50.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прощен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гідроелектростанції</w:t>
      </w:r>
      <w:proofErr w:type="spellEnd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ковшовою </w:t>
      </w:r>
      <w:proofErr w:type="spellStart"/>
      <w:r w:rsidR="00217498"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гідротурбіною</w:t>
      </w:r>
      <w:proofErr w:type="spellEnd"/>
      <w:r w:rsid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51. Охарактеризуйте 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ринцип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мініГЕС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Перелічіть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ереваги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недоліки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мікро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міні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- ГЕС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вторинних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енергетичних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класифікаці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оняття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рециркуляції</w:t>
      </w:r>
      <w:proofErr w:type="spellEnd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17498">
        <w:rPr>
          <w:rFonts w:ascii="Times New Roman" w:eastAsia="Times New Roman" w:hAnsi="Times New Roman" w:cs="Times New Roman"/>
          <w:sz w:val="28"/>
          <w:szCs w:val="28"/>
          <w:lang w:val="ru-RU"/>
        </w:rPr>
        <w:t>рекуперації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17498" w:rsidRDefault="00217498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55.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Надайте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характеристику п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ринцип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накресліть</w:t>
      </w:r>
      <w:proofErr w:type="spellEnd"/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структурн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proofErr w:type="spellEnd"/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схем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CF2499"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теплового насосу</w:t>
      </w:r>
      <w:r w:rsid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Опишіть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принцип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еплов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насос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складі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опалення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промислового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підприємства</w:t>
      </w:r>
      <w:proofErr w:type="spellEnd"/>
      <w:r w:rsidRPr="00CF249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F2499" w:rsidRDefault="00CF2499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57.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кі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провадження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сонячної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58.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екологічні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збитки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вітроенергетики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41A02" w:rsidRPr="004613A0" w:rsidRDefault="00A41A02" w:rsidP="00FB4B32">
      <w:pPr>
        <w:widowControl w:val="0"/>
        <w:tabs>
          <w:tab w:val="left" w:pos="8505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Визначіть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як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1A02">
        <w:rPr>
          <w:rFonts w:ascii="Times New Roman" w:eastAsia="Times New Roman" w:hAnsi="Times New Roman" w:cs="Times New Roman"/>
          <w:sz w:val="28"/>
          <w:szCs w:val="28"/>
          <w:lang w:val="ru-RU"/>
        </w:rPr>
        <w:t>біоенергетични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установок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впливає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регіона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026C5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60. </w:t>
      </w:r>
      <w:r w:rsidRPr="00A41A02"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Перелічіть призначення пристроїв, що входять до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складу сонячної електростанції.</w:t>
      </w:r>
    </w:p>
    <w:p w:rsidR="00A41A02" w:rsidRPr="004613A0" w:rsidRDefault="00A41A02" w:rsidP="008026C5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FE155F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 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О. Нетрадиційні та відновлювані джерела енергії: Підручник / С.О.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Кудря. – К.: НТУУ «КПІ», 2012. – 492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47C5" w:rsidRDefault="00BD47C5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Сиротюк</w:t>
      </w:r>
      <w:r w:rsidR="00F70846"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70846"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Альтернативні джерела енергії. Енергія вітру :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/ С.В. Сиротюк,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В.М. Боярчук, В.П. </w:t>
      </w:r>
      <w:proofErr w:type="spellStart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Гальчак</w:t>
      </w:r>
      <w:proofErr w:type="spellEnd"/>
      <w:r w:rsidRPr="00BD47C5">
        <w:rPr>
          <w:rFonts w:ascii="Times New Roman" w:eastAsia="Times New Roman" w:hAnsi="Times New Roman" w:cs="Times New Roman"/>
          <w:sz w:val="28"/>
          <w:szCs w:val="28"/>
          <w:lang w:val="uk-UA"/>
        </w:rPr>
        <w:t>. – Львів : ’’Магнолія 2006", 2018. – 182 с</w:t>
      </w:r>
      <w:r w:rsid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Соловей 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Нетрадиційні та поновлювальні джерела енергії: Навчальний посібник /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О.І.Соловей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Ю.Г.Лега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В.П.Розен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ін. – Черкаси: ЧДТУ, 2007. – 483 с.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Кудря С.О.,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Рєзцов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 Ф., Суржик Т. В., Яценко Л. В.,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Душина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Г. П., Васько, П.Ф., Морозов Ю. П., Забарний Г. М. та інші. Атлас енергетичного потенціалу відновлюваних джерел енергії України − Київ: Інститут відновлюваної енергетики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НАН України, 2013. – 60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70846" w:rsidRDefault="00F70846" w:rsidP="00F70846">
      <w:pPr>
        <w:pStyle w:val="ab"/>
        <w:widowControl w:val="0"/>
        <w:numPr>
          <w:ilvl w:val="0"/>
          <w:numId w:val="7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Закон України «Про альтернативні джерела енергії» [Електронний ресурс].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Режим доступу: //https://zakon.rada.gov.ua/laws/show/555-15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02F7C" w:rsidRPr="00F70846" w:rsidRDefault="00302F7C" w:rsidP="00F70846">
      <w:pPr>
        <w:widowControl w:val="0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70846" w:rsidRDefault="00F70846" w:rsidP="00F70846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. Могилко О.В. Аналіз перспектив розвитку сонячної енергетики та інших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альтернативних джерел енергії України / О.В. Могилко // Вісник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транспорту і промисловості. – 2010. – № 30. – С. 51-53.</w:t>
      </w:r>
    </w:p>
    <w:p w:rsidR="00F70846" w:rsidRDefault="00F70846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F70846" w:rsidRPr="00F70846" w:rsidRDefault="00AA0F44" w:rsidP="00F70846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2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Антоненко Л.А. Державне регулювання інноваційного розвитку альтернативної енергетики в Україні / Л.А. Антоненко,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Рабіа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 Абдуллах [Електронний ресурс]. – Режим доступу: http://www. nbuv.gov.ua/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Vnulp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Ekonomika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/2010_683/03.pdf.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Мировая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энергетика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первого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десятилетия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ХХI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 А.С.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И.Е.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Матвеев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Электронный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ресурс]. – Режим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доступа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: http://www.vniki.ru/site/LSPCD167C.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Кулик С.М. Завдання науки і реалії практики в освоєнні альтернативних відновлювальних джерел енергії / С.М. Кулик, Л.М.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Маланчук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, М.Д. Дейко [Електронний ресурс]. – Режим доступу: http://www.nbuv. gov.ua/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portal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Soc_Gum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/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inek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/2010_3/5.pdf. </w:t>
      </w:r>
    </w:p>
    <w:p w:rsidR="00F70846" w:rsidRPr="00F70846" w:rsidRDefault="00F70846" w:rsidP="00F70846">
      <w:pPr>
        <w:pStyle w:val="ab"/>
        <w:widowControl w:val="0"/>
        <w:numPr>
          <w:ilvl w:val="0"/>
          <w:numId w:val="9"/>
        </w:numPr>
        <w:spacing w:after="160" w:line="259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Д. До питання розвитку альтернативних джерел енергії. Сонячна енергетика / Д. </w:t>
      </w:r>
      <w:proofErr w:type="spellStart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>Лукомський</w:t>
      </w:r>
      <w:proofErr w:type="spellEnd"/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Альтернативні джерела енергії – 2009. – № 1 [Електронний ресурс]. – Режим доступу: http://solareview. blogspot.com/2009/03/blog-post_23.html.</w:t>
      </w:r>
    </w:p>
    <w:p w:rsidR="00F70846" w:rsidRPr="00F70846" w:rsidRDefault="00F70846" w:rsidP="00F70846">
      <w:pPr>
        <w:pStyle w:val="ab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1690A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51A70"/>
    <w:rsid w:val="00752175"/>
    <w:rsid w:val="007542D3"/>
    <w:rsid w:val="007710ED"/>
    <w:rsid w:val="00793FFB"/>
    <w:rsid w:val="007B68C5"/>
    <w:rsid w:val="007C1DAF"/>
    <w:rsid w:val="007F5222"/>
    <w:rsid w:val="008026C5"/>
    <w:rsid w:val="0083479E"/>
    <w:rsid w:val="00884749"/>
    <w:rsid w:val="008C3273"/>
    <w:rsid w:val="008D1272"/>
    <w:rsid w:val="008E01F7"/>
    <w:rsid w:val="008E755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99C"/>
    <w:rsid w:val="00A54845"/>
    <w:rsid w:val="00A54EFC"/>
    <w:rsid w:val="00A62286"/>
    <w:rsid w:val="00AA0F44"/>
    <w:rsid w:val="00AD21CC"/>
    <w:rsid w:val="00AF05CB"/>
    <w:rsid w:val="00B07A7A"/>
    <w:rsid w:val="00B21B34"/>
    <w:rsid w:val="00B327B2"/>
    <w:rsid w:val="00B32B2D"/>
    <w:rsid w:val="00B62E61"/>
    <w:rsid w:val="00B743B2"/>
    <w:rsid w:val="00B83E57"/>
    <w:rsid w:val="00B87C62"/>
    <w:rsid w:val="00B942F7"/>
    <w:rsid w:val="00BD47C5"/>
    <w:rsid w:val="00BD741C"/>
    <w:rsid w:val="00BF5A00"/>
    <w:rsid w:val="00BF72F0"/>
    <w:rsid w:val="00C1177E"/>
    <w:rsid w:val="00C16F63"/>
    <w:rsid w:val="00C46BF4"/>
    <w:rsid w:val="00C54B0E"/>
    <w:rsid w:val="00C60E13"/>
    <w:rsid w:val="00C66CAD"/>
    <w:rsid w:val="00C7025C"/>
    <w:rsid w:val="00CF044D"/>
    <w:rsid w:val="00CF2499"/>
    <w:rsid w:val="00D07986"/>
    <w:rsid w:val="00D62D4C"/>
    <w:rsid w:val="00D745BB"/>
    <w:rsid w:val="00D879D5"/>
    <w:rsid w:val="00DB7E33"/>
    <w:rsid w:val="00DE4A05"/>
    <w:rsid w:val="00DF4713"/>
    <w:rsid w:val="00DF47FB"/>
    <w:rsid w:val="00E23DCC"/>
    <w:rsid w:val="00E63419"/>
    <w:rsid w:val="00E70296"/>
    <w:rsid w:val="00E87DFC"/>
    <w:rsid w:val="00E924DE"/>
    <w:rsid w:val="00E93B81"/>
    <w:rsid w:val="00EA7577"/>
    <w:rsid w:val="00ED1809"/>
    <w:rsid w:val="00EF1932"/>
    <w:rsid w:val="00F04B04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B6B78-E939-4A48-8B72-FD8A2EEC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uipa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euepa.mozello.com/sklad-kafedri/brovko-kju/" TargetMode="External"/><Relationship Id="rId12" Type="http://schemas.openxmlformats.org/officeDocument/2006/relationships/hyperlink" Target="http://do.uipa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uipa.edu.ua/ua/general-information/stratehiia-rozvytku-uip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fyh2uMJczxJ8shq9LYB9Rhs2TFsbT9bF/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npa/5a1fe9d9b71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5E48B-5E0D-43FC-8D61-05639BBF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15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Бровко</cp:lastModifiedBy>
  <cp:revision>33</cp:revision>
  <dcterms:created xsi:type="dcterms:W3CDTF">2020-03-27T08:42:00Z</dcterms:created>
  <dcterms:modified xsi:type="dcterms:W3CDTF">2023-03-29T07:42:00Z</dcterms:modified>
</cp:coreProperties>
</file>